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D54AEB"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QUIN</w:t>
      </w:r>
      <w:r w:rsidR="001351DD">
        <w:rPr>
          <w:rFonts w:ascii="Century Gothic" w:eastAsia="Times New Roman" w:hAnsi="Century Gothic" w:cs="Verdana"/>
          <w:b/>
          <w:sz w:val="28"/>
          <w:szCs w:val="28"/>
          <w:lang w:val="es-ES" w:eastAsia="es-ES"/>
        </w:rPr>
        <w:t>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EE7339">
        <w:rPr>
          <w:rFonts w:ascii="Century Gothic" w:eastAsia="Times New Roman" w:hAnsi="Century Gothic" w:cs="Verdana"/>
          <w:b/>
          <w:sz w:val="28"/>
          <w:szCs w:val="28"/>
          <w:lang w:val="es-ES" w:eastAsia="es-ES"/>
        </w:rPr>
        <w:t>4</w:t>
      </w:r>
      <w:r w:rsidR="00984BDA" w:rsidRPr="006D625C">
        <w:rPr>
          <w:rFonts w:ascii="Century Gothic" w:eastAsia="Times New Roman" w:hAnsi="Century Gothic" w:cs="Verdana"/>
          <w:b/>
          <w:sz w:val="28"/>
          <w:szCs w:val="28"/>
          <w:lang w:val="es-ES" w:eastAsia="es-ES"/>
        </w:rPr>
        <w:t xml:space="preserve">:00 </w:t>
      </w:r>
      <w:r w:rsidR="00EE7339">
        <w:rPr>
          <w:rFonts w:ascii="Century Gothic" w:eastAsia="Times New Roman" w:hAnsi="Century Gothic" w:cs="Verdana"/>
          <w:b/>
          <w:sz w:val="28"/>
          <w:szCs w:val="28"/>
          <w:lang w:val="es-ES" w:eastAsia="es-ES"/>
        </w:rPr>
        <w:t>catorce</w:t>
      </w:r>
      <w:r w:rsidR="00F0169C" w:rsidRPr="006D625C">
        <w:rPr>
          <w:rFonts w:ascii="Century Gothic" w:eastAsia="Times New Roman" w:hAnsi="Century Gothic" w:cs="Verdana"/>
          <w:b/>
          <w:sz w:val="28"/>
          <w:szCs w:val="28"/>
          <w:lang w:val="es-ES" w:eastAsia="es-ES"/>
        </w:rPr>
        <w:t xml:space="preserve"> horas del </w:t>
      </w:r>
      <w:r w:rsidR="00D54AEB">
        <w:rPr>
          <w:rFonts w:ascii="Century Gothic" w:eastAsia="Times New Roman" w:hAnsi="Century Gothic" w:cs="Verdana"/>
          <w:b/>
          <w:sz w:val="28"/>
          <w:szCs w:val="28"/>
          <w:lang w:val="es-ES" w:eastAsia="es-ES"/>
        </w:rPr>
        <w:t>25 veinticinco</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w:t>
      </w:r>
      <w:r w:rsidR="001351DD">
        <w:rPr>
          <w:rFonts w:ascii="Century Gothic" w:eastAsia="Times New Roman" w:hAnsi="Century Gothic" w:cs="Verdana"/>
          <w:sz w:val="28"/>
          <w:szCs w:val="28"/>
          <w:lang w:val="es-ES" w:eastAsia="es-ES"/>
        </w:rPr>
        <w:t>e la colonia Lomas de Guevara, primer</w:t>
      </w:r>
      <w:r w:rsidRPr="006D625C">
        <w:rPr>
          <w:rFonts w:ascii="Century Gothic" w:eastAsia="Times New Roman" w:hAnsi="Century Gothic" w:cs="Verdana"/>
          <w:sz w:val="28"/>
          <w:szCs w:val="28"/>
          <w:lang w:val="es-ES" w:eastAsia="es-ES"/>
        </w:rPr>
        <w:t xml:space="preserve">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1351DD">
        <w:rPr>
          <w:rFonts w:ascii="Century Gothic" w:hAnsi="Century Gothic"/>
          <w:b/>
          <w:sz w:val="28"/>
          <w:szCs w:val="28"/>
        </w:rPr>
        <w:t>SERGIO CASTAÑEDA FLETES</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D54AEB">
        <w:rPr>
          <w:rFonts w:ascii="Century Gothic" w:eastAsia="Times New Roman" w:hAnsi="Century Gothic" w:cs="Verdana"/>
          <w:b/>
          <w:sz w:val="28"/>
          <w:szCs w:val="28"/>
          <w:lang w:val="es-ES" w:eastAsia="es-ES"/>
        </w:rPr>
        <w:t>Quin</w:t>
      </w:r>
      <w:r w:rsidR="001351DD">
        <w:rPr>
          <w:rFonts w:ascii="Century Gothic" w:eastAsia="Times New Roman" w:hAnsi="Century Gothic" w:cs="Verdana"/>
          <w:b/>
          <w:sz w:val="28"/>
          <w:szCs w:val="28"/>
          <w:lang w:val="es-ES" w:eastAsia="es-ES"/>
        </w:rPr>
        <w:t>ta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D54AEB">
        <w:rPr>
          <w:rFonts w:ascii="Century Gothic" w:hAnsi="Century Gothic"/>
          <w:b w:val="0"/>
          <w:sz w:val="27"/>
          <w:szCs w:val="27"/>
        </w:rPr>
        <w:t>1085</w:t>
      </w:r>
      <w:r w:rsidR="00377DD3">
        <w:rPr>
          <w:rFonts w:ascii="Century Gothic" w:hAnsi="Century Gothic"/>
          <w:b w:val="0"/>
          <w:sz w:val="27"/>
          <w:szCs w:val="27"/>
        </w:rPr>
        <w:t>/</w:t>
      </w:r>
      <w:r w:rsidR="00D54AEB">
        <w:rPr>
          <w:rFonts w:ascii="Century Gothic" w:hAnsi="Century Gothic"/>
          <w:b w:val="0"/>
          <w:sz w:val="27"/>
          <w:szCs w:val="27"/>
        </w:rPr>
        <w:t>20</w:t>
      </w:r>
      <w:r w:rsidR="00377DD3">
        <w:rPr>
          <w:rFonts w:ascii="Century Gothic" w:hAnsi="Century Gothic"/>
          <w:b w:val="0"/>
          <w:sz w:val="27"/>
          <w:szCs w:val="27"/>
        </w:rPr>
        <w:t>19</w:t>
      </w:r>
      <w:r w:rsidR="002B3681">
        <w:rPr>
          <w:rFonts w:ascii="Century Gothic" w:hAnsi="Century Gothic"/>
          <w:b w:val="0"/>
          <w:sz w:val="27"/>
          <w:szCs w:val="27"/>
        </w:rPr>
        <w:t xml:space="preserve">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B51E36">
        <w:rPr>
          <w:rFonts w:ascii="Century Gothic" w:hAnsi="Century Gothic"/>
          <w:b w:val="0"/>
          <w:sz w:val="27"/>
          <w:szCs w:val="27"/>
        </w:rPr>
        <w:t>Tercer</w:t>
      </w:r>
      <w:r w:rsidRPr="00ED7C93">
        <w:rPr>
          <w:rFonts w:ascii="Century Gothic" w:hAnsi="Century Gothic"/>
          <w:b w:val="0"/>
          <w:sz w:val="27"/>
          <w:szCs w:val="27"/>
        </w:rPr>
        <w:t xml:space="preserve"> Tribunal Colegiado en M</w:t>
      </w:r>
      <w:r w:rsidR="00377DD3">
        <w:rPr>
          <w:rFonts w:ascii="Century Gothic" w:hAnsi="Century Gothic"/>
          <w:b w:val="0"/>
          <w:sz w:val="27"/>
          <w:szCs w:val="27"/>
        </w:rPr>
        <w:t>ateria Administrativa del Tercer</w:t>
      </w:r>
      <w:r w:rsidRPr="00ED7C93">
        <w:rPr>
          <w:rFonts w:ascii="Century Gothic" w:hAnsi="Century Gothic"/>
          <w:b w:val="0"/>
          <w:sz w:val="27"/>
          <w:szCs w:val="27"/>
        </w:rPr>
        <w:t xml:space="preserve"> Circuito, relativo al Juicio de Amparo número </w:t>
      </w:r>
      <w:r w:rsidR="00B51E36">
        <w:rPr>
          <w:rFonts w:ascii="Century Gothic" w:hAnsi="Century Gothic"/>
          <w:b w:val="0"/>
          <w:sz w:val="27"/>
          <w:szCs w:val="27"/>
        </w:rPr>
        <w:t>189</w:t>
      </w:r>
      <w:r w:rsidR="004F0518">
        <w:rPr>
          <w:rFonts w:ascii="Century Gothic" w:hAnsi="Century Gothic"/>
          <w:b w:val="0"/>
          <w:sz w:val="27"/>
          <w:szCs w:val="27"/>
        </w:rPr>
        <w:t>/</w:t>
      </w:r>
      <w:r w:rsidR="00D63230">
        <w:rPr>
          <w:rFonts w:ascii="Century Gothic" w:hAnsi="Century Gothic"/>
          <w:b w:val="0"/>
          <w:sz w:val="27"/>
          <w:szCs w:val="27"/>
        </w:rPr>
        <w:t>2017</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B51E36">
        <w:rPr>
          <w:rFonts w:ascii="Century Gothic" w:hAnsi="Century Gothic"/>
          <w:b w:val="0"/>
          <w:sz w:val="27"/>
          <w:szCs w:val="27"/>
        </w:rPr>
        <w:t>22 veintidós</w:t>
      </w:r>
      <w:r w:rsidR="00B07D92">
        <w:rPr>
          <w:rFonts w:ascii="Century Gothic" w:hAnsi="Century Gothic"/>
          <w:b w:val="0"/>
          <w:sz w:val="27"/>
          <w:szCs w:val="27"/>
        </w:rPr>
        <w:t xml:space="preserve"> </w:t>
      </w:r>
      <w:r w:rsidR="00377DD3">
        <w:rPr>
          <w:rFonts w:ascii="Century Gothic" w:hAnsi="Century Gothic"/>
          <w:b w:val="0"/>
          <w:sz w:val="27"/>
          <w:szCs w:val="27"/>
        </w:rPr>
        <w:t>de enero</w:t>
      </w:r>
      <w:r>
        <w:rPr>
          <w:rFonts w:ascii="Century Gothic" w:hAnsi="Century Gothic"/>
          <w:b w:val="0"/>
          <w:sz w:val="27"/>
          <w:szCs w:val="27"/>
        </w:rPr>
        <w:t xml:space="preserv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167072">
        <w:rPr>
          <w:rFonts w:ascii="Century Gothic" w:hAnsi="Century Gothic"/>
          <w:b w:val="0"/>
          <w:sz w:val="27"/>
          <w:szCs w:val="27"/>
        </w:rPr>
        <w:t xml:space="preserve">e </w:t>
      </w:r>
      <w:r w:rsidR="00B51E36">
        <w:rPr>
          <w:rFonts w:ascii="Century Gothic" w:hAnsi="Century Gothic"/>
          <w:b w:val="0"/>
          <w:sz w:val="27"/>
          <w:szCs w:val="27"/>
        </w:rPr>
        <w:t>3</w:t>
      </w:r>
      <w:r w:rsidR="00D63230">
        <w:rPr>
          <w:rFonts w:ascii="Century Gothic" w:hAnsi="Century Gothic"/>
          <w:b w:val="0"/>
          <w:sz w:val="27"/>
          <w:szCs w:val="27"/>
        </w:rPr>
        <w:t>04</w:t>
      </w:r>
      <w:r w:rsidR="00974147">
        <w:rPr>
          <w:rFonts w:ascii="Century Gothic" w:hAnsi="Century Gothic"/>
          <w:b w:val="0"/>
          <w:sz w:val="27"/>
          <w:szCs w:val="27"/>
        </w:rPr>
        <w:t>/</w:t>
      </w:r>
      <w:r w:rsidR="00D63230">
        <w:rPr>
          <w:rFonts w:ascii="Century Gothic" w:hAnsi="Century Gothic"/>
          <w:b w:val="0"/>
          <w:sz w:val="27"/>
          <w:szCs w:val="27"/>
        </w:rPr>
        <w:t>2017</w:t>
      </w:r>
      <w:r w:rsidR="00941B13">
        <w:rPr>
          <w:rFonts w:ascii="Century Gothic" w:hAnsi="Century Gothic"/>
          <w:b w:val="0"/>
          <w:sz w:val="27"/>
          <w:szCs w:val="27"/>
        </w:rPr>
        <w:t>,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w:t>
      </w:r>
      <w:r w:rsidR="00B51E36">
        <w:rPr>
          <w:rFonts w:ascii="Century Gothic" w:hAnsi="Century Gothic"/>
          <w:b w:val="0"/>
          <w:sz w:val="27"/>
          <w:szCs w:val="27"/>
        </w:rPr>
        <w:t>dministrativo 143</w:t>
      </w:r>
      <w:r w:rsidR="00974147">
        <w:rPr>
          <w:rFonts w:ascii="Century Gothic" w:hAnsi="Century Gothic"/>
          <w:b w:val="0"/>
          <w:sz w:val="27"/>
          <w:szCs w:val="27"/>
        </w:rPr>
        <w:t>/</w:t>
      </w:r>
      <w:r w:rsidR="00B51E36">
        <w:rPr>
          <w:rFonts w:ascii="Century Gothic" w:hAnsi="Century Gothic"/>
          <w:b w:val="0"/>
          <w:sz w:val="27"/>
          <w:szCs w:val="27"/>
        </w:rPr>
        <w:t>2014</w:t>
      </w:r>
      <w:r w:rsidRPr="00ED7C93">
        <w:rPr>
          <w:rFonts w:ascii="Century Gothic" w:hAnsi="Century Gothic"/>
          <w:b w:val="0"/>
          <w:sz w:val="27"/>
          <w:szCs w:val="27"/>
        </w:rPr>
        <w:t xml:space="preserve"> del índice de l</w:t>
      </w:r>
      <w:r w:rsidR="00B51E36">
        <w:rPr>
          <w:rFonts w:ascii="Century Gothic" w:hAnsi="Century Gothic"/>
          <w:b w:val="0"/>
          <w:sz w:val="27"/>
          <w:szCs w:val="27"/>
        </w:rPr>
        <w:t>a Tercera</w:t>
      </w:r>
      <w:r w:rsidRPr="00ED7C93">
        <w:rPr>
          <w:rFonts w:ascii="Century Gothic" w:hAnsi="Century Gothic"/>
          <w:b w:val="0"/>
          <w:sz w:val="27"/>
          <w:szCs w:val="27"/>
        </w:rPr>
        <w:t xml:space="preserve"> Sala Unitaria del Tribunal de Justicia Administrativa del Estado, en cumpl</w:t>
      </w:r>
      <w:r w:rsidR="00B51E36">
        <w:rPr>
          <w:rFonts w:ascii="Century Gothic" w:hAnsi="Century Gothic"/>
          <w:b w:val="0"/>
          <w:sz w:val="27"/>
          <w:szCs w:val="27"/>
        </w:rPr>
        <w:t>imiento al Juicio de Amparo 189</w:t>
      </w:r>
      <w:r w:rsidR="00D63230">
        <w:rPr>
          <w:rFonts w:ascii="Century Gothic" w:hAnsi="Century Gothic"/>
          <w:b w:val="0"/>
          <w:sz w:val="27"/>
          <w:szCs w:val="27"/>
        </w:rPr>
        <w:t>/2017</w:t>
      </w:r>
      <w:r w:rsidRPr="00ED7C93">
        <w:rPr>
          <w:rFonts w:ascii="Century Gothic" w:hAnsi="Century Gothic"/>
          <w:b w:val="0"/>
          <w:sz w:val="27"/>
          <w:szCs w:val="27"/>
        </w:rPr>
        <w:t xml:space="preserve"> del </w:t>
      </w:r>
      <w:r w:rsidR="00B51E36">
        <w:rPr>
          <w:rFonts w:ascii="Century Gothic" w:hAnsi="Century Gothic"/>
          <w:b w:val="0"/>
          <w:sz w:val="27"/>
          <w:szCs w:val="27"/>
        </w:rPr>
        <w:t>Tercer</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t>ACU/SS/01</w:t>
            </w:r>
            <w:r w:rsidR="007005F4" w:rsidRPr="00ED7C93">
              <w:rPr>
                <w:rFonts w:eastAsia="Calibri"/>
                <w:b/>
                <w:sz w:val="27"/>
                <w:szCs w:val="27"/>
              </w:rPr>
              <w:t>/</w:t>
            </w:r>
            <w:r w:rsidR="00B51E36">
              <w:rPr>
                <w:rFonts w:eastAsia="Calibri"/>
                <w:b/>
                <w:sz w:val="27"/>
                <w:szCs w:val="27"/>
              </w:rPr>
              <w:t>05</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w:t>
            </w:r>
            <w:r w:rsidR="007005F4" w:rsidRPr="00ED7C93">
              <w:rPr>
                <w:rFonts w:eastAsia="Calibri"/>
                <w:sz w:val="27"/>
                <w:szCs w:val="27"/>
              </w:rPr>
              <w:lastRenderedPageBreak/>
              <w:t>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lastRenderedPageBreak/>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B51E36" w:rsidRPr="00B51E36">
        <w:rPr>
          <w:b w:val="0"/>
          <w:i/>
          <w:sz w:val="27"/>
          <w:szCs w:val="27"/>
          <w:lang w:val="es-MX"/>
        </w:rPr>
        <w:t>Recepción del oficio 1085/2019 que remite el Secretario de Acuerdos del Tercer Tribunal Colegiado en Materia Administrativa del Tercer Circuito, relativo al Juicio de Amparo número 189/2017 recibido el día 22 veintidós de enero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enterados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B51E36" w:rsidRPr="00B51E36">
        <w:rPr>
          <w:b w:val="0"/>
          <w:i/>
          <w:sz w:val="27"/>
          <w:szCs w:val="27"/>
          <w:lang w:val="es-MX"/>
        </w:rPr>
        <w:t>Análisis, discusión y en su caso aprobación del proyecto de sentencia del expediente 304/2017, Recurso de Apelación derivado del Juicio Administrativo 143/2014 del índice de la Tercera Sala Unitaria del Tribunal de Justicia Administrativa del Estado, en cumplimiento al Juicio de Amparo 189/2017 del Tercer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B51E36">
        <w:rPr>
          <w:b/>
          <w:sz w:val="27"/>
          <w:szCs w:val="27"/>
        </w:rPr>
        <w:t>3</w:t>
      </w:r>
      <w:r w:rsidR="00C7458D">
        <w:rPr>
          <w:b/>
          <w:sz w:val="27"/>
          <w:szCs w:val="27"/>
        </w:rPr>
        <w:t>0</w:t>
      </w:r>
      <w:r w:rsidR="00792B0A">
        <w:rPr>
          <w:b/>
          <w:sz w:val="27"/>
          <w:szCs w:val="27"/>
        </w:rPr>
        <w:t>4</w:t>
      </w:r>
      <w:r w:rsidRPr="00ED7C93">
        <w:rPr>
          <w:b/>
          <w:sz w:val="27"/>
          <w:szCs w:val="27"/>
        </w:rPr>
        <w:t>/201</w:t>
      </w:r>
      <w:r w:rsidR="00C7458D">
        <w:rPr>
          <w:b/>
          <w:sz w:val="27"/>
          <w:szCs w:val="27"/>
        </w:rPr>
        <w:t>7</w:t>
      </w:r>
      <w:r>
        <w:rPr>
          <w:b/>
          <w:sz w:val="27"/>
          <w:szCs w:val="27"/>
        </w:rPr>
        <w:t xml:space="preserve"> </w:t>
      </w:r>
      <w:r w:rsidR="00D16E78">
        <w:rPr>
          <w:sz w:val="27"/>
          <w:szCs w:val="27"/>
        </w:rPr>
        <w:t xml:space="preserve">que presenta la </w:t>
      </w:r>
      <w:r w:rsidR="00C7458D">
        <w:rPr>
          <w:sz w:val="27"/>
          <w:szCs w:val="27"/>
        </w:rPr>
        <w:t>Primer</w:t>
      </w:r>
      <w:r w:rsidRPr="00035C46">
        <w:rPr>
          <w:sz w:val="27"/>
          <w:szCs w:val="27"/>
        </w:rPr>
        <w:t xml:space="preserve"> Ponencia</w:t>
      </w:r>
      <w:r>
        <w:rPr>
          <w:sz w:val="27"/>
          <w:szCs w:val="27"/>
        </w:rPr>
        <w:t xml:space="preserve"> a cargo del </w:t>
      </w:r>
      <w:r w:rsidR="00C7458D">
        <w:rPr>
          <w:sz w:val="27"/>
          <w:szCs w:val="27"/>
        </w:rPr>
        <w:t>de la voz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EE7339">
            <w:pPr>
              <w:pStyle w:val="Textosinformato"/>
              <w:rPr>
                <w:rFonts w:eastAsia="Calibri"/>
                <w:sz w:val="27"/>
                <w:szCs w:val="27"/>
              </w:rPr>
            </w:pPr>
            <w:r w:rsidRPr="00ED7C93">
              <w:rPr>
                <w:rFonts w:eastAsia="Calibri"/>
                <w:b/>
                <w:sz w:val="27"/>
                <w:szCs w:val="27"/>
              </w:rPr>
              <w:t>ACU/SS/</w:t>
            </w:r>
            <w:r w:rsidR="00B51E36">
              <w:rPr>
                <w:rFonts w:eastAsia="Calibri"/>
                <w:b/>
                <w:sz w:val="27"/>
                <w:szCs w:val="27"/>
              </w:rPr>
              <w:t>02/05</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w:t>
            </w:r>
            <w:r w:rsidR="00EE7339">
              <w:rPr>
                <w:rFonts w:eastAsia="Calibri"/>
                <w:sz w:val="27"/>
                <w:szCs w:val="27"/>
              </w:rPr>
              <w:t xml:space="preserve">con los votos a </w:t>
            </w:r>
            <w:r w:rsidR="00EE7339">
              <w:rPr>
                <w:rFonts w:eastAsia="Calibri"/>
                <w:sz w:val="27"/>
                <w:szCs w:val="27"/>
              </w:rPr>
              <w:lastRenderedPageBreak/>
              <w:t>favor de los Magistrado Avelino Bravo Cacho y José Ramón Jiménez Gutiérrez, así como el voto concurrente de la Magistrada Fany Lorena Jiménez Aguirre</w:t>
            </w:r>
            <w:r w:rsidR="00B51E36">
              <w:rPr>
                <w:rFonts w:eastAsia="Calibri"/>
                <w:sz w:val="27"/>
                <w:szCs w:val="27"/>
              </w:rPr>
              <w:t>,</w:t>
            </w:r>
            <w:r w:rsidR="00EE7339">
              <w:rPr>
                <w:rFonts w:eastAsia="Calibri"/>
                <w:sz w:val="27"/>
                <w:szCs w:val="27"/>
              </w:rPr>
              <w:t xml:space="preserve"> el</w:t>
            </w:r>
            <w:r w:rsidRPr="00ED7C93">
              <w:rPr>
                <w:rFonts w:eastAsia="Calibri"/>
                <w:sz w:val="27"/>
                <w:szCs w:val="27"/>
              </w:rPr>
              <w:t xml:space="preserve"> proyecto de</w:t>
            </w:r>
            <w:r w:rsidR="00167072">
              <w:rPr>
                <w:rFonts w:eastAsia="Calibri"/>
                <w:sz w:val="27"/>
                <w:szCs w:val="27"/>
              </w:rPr>
              <w:t xml:space="preserve"> sentencia </w:t>
            </w:r>
            <w:r w:rsidR="00EE7339">
              <w:rPr>
                <w:rFonts w:eastAsia="Calibri"/>
                <w:sz w:val="27"/>
                <w:szCs w:val="27"/>
              </w:rPr>
              <w:t xml:space="preserve">del </w:t>
            </w:r>
            <w:r w:rsidR="00167072">
              <w:rPr>
                <w:rFonts w:eastAsia="Calibri"/>
                <w:sz w:val="27"/>
                <w:szCs w:val="27"/>
              </w:rPr>
              <w:t xml:space="preserve">expediente </w:t>
            </w:r>
            <w:r w:rsidR="00B51E36">
              <w:rPr>
                <w:rFonts w:eastAsia="Calibri"/>
                <w:sz w:val="27"/>
                <w:szCs w:val="27"/>
              </w:rPr>
              <w:t>Pleno 3</w:t>
            </w:r>
            <w:r w:rsidR="00C7458D">
              <w:rPr>
                <w:rFonts w:eastAsia="Calibri"/>
                <w:sz w:val="27"/>
                <w:szCs w:val="27"/>
              </w:rPr>
              <w:t>0</w:t>
            </w:r>
            <w:r w:rsidR="00167072">
              <w:rPr>
                <w:rFonts w:eastAsia="Calibri"/>
                <w:sz w:val="27"/>
                <w:szCs w:val="27"/>
              </w:rPr>
              <w:t>4</w:t>
            </w:r>
            <w:r w:rsidRPr="00ED7C93">
              <w:rPr>
                <w:rFonts w:eastAsia="Calibri"/>
                <w:sz w:val="27"/>
                <w:szCs w:val="27"/>
              </w:rPr>
              <w:t>/</w:t>
            </w:r>
            <w:r w:rsidR="00C7458D">
              <w:rPr>
                <w:rFonts w:eastAsia="Calibri"/>
                <w:sz w:val="27"/>
                <w:szCs w:val="27"/>
              </w:rPr>
              <w:t>2017</w:t>
            </w:r>
            <w:r w:rsidR="00D16E78">
              <w:rPr>
                <w:rFonts w:eastAsia="Calibri"/>
                <w:sz w:val="27"/>
                <w:szCs w:val="27"/>
              </w:rPr>
              <w:t xml:space="preserve"> Recurso de Apel</w:t>
            </w:r>
            <w:r>
              <w:rPr>
                <w:rFonts w:eastAsia="Calibri"/>
                <w:sz w:val="27"/>
                <w:szCs w:val="27"/>
              </w:rPr>
              <w:t>a</w:t>
            </w:r>
            <w:r w:rsidRPr="00ED7C93">
              <w:rPr>
                <w:rFonts w:eastAsia="Calibri"/>
                <w:sz w:val="27"/>
                <w:szCs w:val="27"/>
              </w:rPr>
              <w:t xml:space="preserve">ción, derivado del Juicio Administrativo </w:t>
            </w:r>
            <w:r w:rsidR="00B51E36">
              <w:rPr>
                <w:rFonts w:eastAsia="Calibri"/>
                <w:sz w:val="27"/>
                <w:szCs w:val="27"/>
              </w:rPr>
              <w:t>143/2014 del índice de la Tercera</w:t>
            </w:r>
            <w:r w:rsidRPr="00ED7C93">
              <w:rPr>
                <w:rFonts w:eastAsia="Calibri"/>
                <w:sz w:val="27"/>
                <w:szCs w:val="27"/>
              </w:rPr>
              <w:t xml:space="preserve"> Sala Unitaria del Tribunal de Justicia Administrativa del Estado. Gírese oficio con los insertos necesarios al </w:t>
            </w:r>
            <w:r w:rsidR="00B51E36">
              <w:rPr>
                <w:rFonts w:eastAsia="Calibri"/>
                <w:sz w:val="27"/>
                <w:szCs w:val="27"/>
              </w:rPr>
              <w:t>Tercer</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B51E36">
              <w:rPr>
                <w:rFonts w:eastAsia="Calibri"/>
                <w:sz w:val="27"/>
                <w:szCs w:val="27"/>
              </w:rPr>
              <w:t>189</w:t>
            </w:r>
            <w:r>
              <w:rPr>
                <w:rFonts w:eastAsia="Calibri"/>
                <w:sz w:val="27"/>
                <w:szCs w:val="27"/>
              </w:rPr>
              <w:t>/20</w:t>
            </w:r>
            <w:r w:rsidR="00C7458D">
              <w:rPr>
                <w:rFonts w:eastAsia="Calibri"/>
                <w:sz w:val="27"/>
                <w:szCs w:val="27"/>
              </w:rPr>
              <w:t>17</w:t>
            </w:r>
            <w:r w:rsidRPr="00ED7C93">
              <w:rPr>
                <w:rFonts w:eastAsia="Calibri"/>
                <w:sz w:val="27"/>
                <w:szCs w:val="27"/>
              </w:rPr>
              <w:t xml:space="preserve">, para su debido cumplimiento. </w:t>
            </w:r>
          </w:p>
        </w:tc>
      </w:tr>
    </w:tbl>
    <w:p w:rsidR="00C7458D" w:rsidRPr="00ED7C93" w:rsidRDefault="00C7458D" w:rsidP="007005F4">
      <w:pPr>
        <w:jc w:val="both"/>
        <w:rPr>
          <w:rFonts w:ascii="Century Gothic" w:hAnsi="Century Gothic"/>
          <w:sz w:val="27"/>
          <w:szCs w:val="27"/>
        </w:rPr>
      </w:pPr>
    </w:p>
    <w:p w:rsidR="007005F4" w:rsidRPr="00ED7C93" w:rsidRDefault="00B51E36" w:rsidP="007005F4">
      <w:pPr>
        <w:pStyle w:val="Textosinformato"/>
        <w:rPr>
          <w:sz w:val="27"/>
          <w:szCs w:val="27"/>
        </w:rPr>
      </w:pPr>
      <w:r w:rsidRPr="00ED7C93">
        <w:rPr>
          <w:sz w:val="27"/>
          <w:szCs w:val="27"/>
        </w:rPr>
        <w:t>En uso de la voz el Magistrado Presidente AVELINO BRAVO CACHO</w:t>
      </w:r>
      <w:r w:rsidR="007005F4" w:rsidRPr="00ED7C93">
        <w:rPr>
          <w:sz w:val="27"/>
          <w:szCs w:val="27"/>
        </w:rPr>
        <w:t xml:space="preserve">: Secretario, nos da cuenta del siguiente punto del orden del día por favor. En uso de la voz el Secretario General de Acuerdos de la Sala 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B51E36" w:rsidRDefault="007005F4" w:rsidP="00B51E36">
      <w:pPr>
        <w:pStyle w:val="Textosinformato"/>
        <w:rPr>
          <w:sz w:val="27"/>
          <w:szCs w:val="27"/>
        </w:rPr>
      </w:pPr>
      <w:r w:rsidRPr="00ED7C93">
        <w:rPr>
          <w:sz w:val="27"/>
          <w:szCs w:val="27"/>
        </w:rPr>
        <w:t>En virtud de haber agotado los puntos del orden del día de esta Se</w:t>
      </w:r>
      <w:r w:rsidR="00EE7339">
        <w:rPr>
          <w:sz w:val="27"/>
          <w:szCs w:val="27"/>
        </w:rPr>
        <w:t>sión Extraordinaria siendo las 14</w:t>
      </w:r>
      <w:r w:rsidRPr="00ED7C93">
        <w:rPr>
          <w:sz w:val="27"/>
          <w:szCs w:val="27"/>
        </w:rPr>
        <w:t>:</w:t>
      </w:r>
      <w:r w:rsidR="00B51E36">
        <w:rPr>
          <w:sz w:val="27"/>
          <w:szCs w:val="27"/>
        </w:rPr>
        <w:t>2</w:t>
      </w:r>
      <w:r w:rsidR="00171B02">
        <w:rPr>
          <w:sz w:val="27"/>
          <w:szCs w:val="27"/>
        </w:rPr>
        <w:t>0 catorce</w:t>
      </w:r>
      <w:r w:rsidRPr="00ED7C93">
        <w:rPr>
          <w:sz w:val="27"/>
          <w:szCs w:val="27"/>
        </w:rPr>
        <w:t xml:space="preserve"> horas con </w:t>
      </w:r>
      <w:r w:rsidR="00B51E36">
        <w:rPr>
          <w:sz w:val="27"/>
          <w:szCs w:val="27"/>
        </w:rPr>
        <w:t>veinte</w:t>
      </w:r>
      <w:r w:rsidRPr="00ED7C93">
        <w:rPr>
          <w:sz w:val="27"/>
          <w:szCs w:val="27"/>
        </w:rPr>
        <w:t xml:space="preserve"> minutos del </w:t>
      </w:r>
      <w:r w:rsidR="00B51E36">
        <w:rPr>
          <w:sz w:val="27"/>
          <w:szCs w:val="27"/>
        </w:rPr>
        <w:t>25 veinticinco</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1351DD">
        <w:rPr>
          <w:b/>
          <w:sz w:val="28"/>
          <w:szCs w:val="28"/>
        </w:rPr>
        <w:t>SERGIO CASTAÑEDA FLETES</w:t>
      </w:r>
      <w:r w:rsidRPr="00ED7C93">
        <w:rPr>
          <w:b/>
          <w:sz w:val="27"/>
          <w:szCs w:val="27"/>
        </w:rPr>
        <w:t xml:space="preserve">, </w:t>
      </w:r>
      <w:r w:rsidRPr="00ED7C93">
        <w:rPr>
          <w:sz w:val="27"/>
          <w:szCs w:val="27"/>
        </w:rPr>
        <w:t>quien autoriza y da fe. ----</w:t>
      </w:r>
      <w:r w:rsidR="00DE623C">
        <w:rPr>
          <w:sz w:val="27"/>
          <w:szCs w:val="27"/>
        </w:rPr>
        <w:t>--------</w:t>
      </w: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171B02" w:rsidRDefault="007005F4" w:rsidP="00B51E36">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B51E36">
      <w:pPr>
        <w:spacing w:after="0" w:line="240" w:lineRule="auto"/>
        <w:rPr>
          <w:rFonts w:ascii="Century Gothic" w:eastAsia="Times New Roman" w:hAnsi="Century Gothic" w:cs="Times New Roman"/>
          <w:b/>
          <w:sz w:val="24"/>
          <w:szCs w:val="24"/>
          <w:lang w:val="es-ES" w:eastAsia="es-ES"/>
        </w:rPr>
      </w:pPr>
    </w:p>
    <w:p w:rsidR="007005F4" w:rsidRDefault="007005F4" w:rsidP="007005F4">
      <w:pPr>
        <w:spacing w:after="0" w:line="240" w:lineRule="auto"/>
        <w:rPr>
          <w:rFonts w:ascii="Century Gothic" w:eastAsia="Times New Roman" w:hAnsi="Century Gothic" w:cs="Times New Roman"/>
          <w:b/>
          <w:sz w:val="24"/>
          <w:szCs w:val="24"/>
          <w:lang w:val="es-ES" w:eastAsia="es-ES"/>
        </w:rPr>
      </w:pPr>
    </w:p>
    <w:p w:rsidR="00B51E36" w:rsidRPr="006D625C" w:rsidRDefault="00B51E36"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w:t>
      </w:r>
      <w:r w:rsidR="001351DD">
        <w:rPr>
          <w:rFonts w:ascii="Century Gothic" w:eastAsia="Times New Roman" w:hAnsi="Century Gothic" w:cs="Times New Roman"/>
          <w:b/>
          <w:sz w:val="24"/>
          <w:szCs w:val="24"/>
          <w:lang w:val="es-ES" w:eastAsia="es-ES"/>
        </w:rPr>
        <w:t>SERGIO CASTAÑEDA FLETES</w:t>
      </w:r>
    </w:p>
    <w:p w:rsidR="00CB6111" w:rsidRPr="006D625C" w:rsidRDefault="007005F4" w:rsidP="00B51E3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w:t>
      </w:r>
      <w:bookmarkStart w:id="0" w:name="_GoBack"/>
      <w:bookmarkEnd w:id="0"/>
      <w:r w:rsidRPr="006D625C">
        <w:rPr>
          <w:rFonts w:ascii="Century Gothic" w:eastAsia="Times New Roman" w:hAnsi="Century Gothic" w:cs="Times New Roman"/>
          <w:b/>
          <w:sz w:val="24"/>
          <w:szCs w:val="24"/>
          <w:lang w:val="es-ES" w:eastAsia="es-ES"/>
        </w:rPr>
        <w:t>s de la Sala Superior</w:t>
      </w:r>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B51E36">
      <w:rPr>
        <w:rStyle w:val="Nmerodepgina"/>
        <w:noProof/>
      </w:rPr>
      <w:t>4</w:t>
    </w:r>
    <w:r>
      <w:rPr>
        <w:rStyle w:val="Nmerodepgina"/>
      </w:rPr>
      <w:fldChar w:fldCharType="end"/>
    </w:r>
    <w:r w:rsidR="00B51E36">
      <w:rPr>
        <w:rStyle w:val="Nmerodepgina"/>
        <w:sz w:val="18"/>
      </w:rPr>
      <w:t>/4</w:t>
    </w:r>
  </w:p>
  <w:p w:rsidR="007A710B" w:rsidRDefault="00B51E36" w:rsidP="007A710B">
    <w:pPr>
      <w:pStyle w:val="Piedepgina"/>
      <w:jc w:val="right"/>
      <w:rPr>
        <w:rStyle w:val="Nmerodepgina"/>
        <w:rFonts w:ascii="Arial" w:hAnsi="Arial"/>
        <w:smallCaps/>
        <w:sz w:val="18"/>
      </w:rPr>
    </w:pPr>
    <w:r>
      <w:rPr>
        <w:rStyle w:val="Nmerodepgina"/>
        <w:rFonts w:ascii="Arial" w:hAnsi="Arial"/>
        <w:smallCaps/>
        <w:sz w:val="18"/>
      </w:rPr>
      <w:t>QUIN</w:t>
    </w:r>
    <w:r w:rsidR="00171B02">
      <w:rPr>
        <w:rStyle w:val="Nmerodepgina"/>
        <w:rFonts w:ascii="Arial" w:hAnsi="Arial"/>
        <w:smallCaps/>
        <w:sz w:val="18"/>
      </w:rPr>
      <w:t>TA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B51E36" w:rsidP="007A710B">
    <w:pPr>
      <w:pStyle w:val="Piedepgina"/>
      <w:jc w:val="right"/>
      <w:rPr>
        <w:rStyle w:val="Nmerodepgina"/>
        <w:rFonts w:ascii="Arial" w:hAnsi="Arial"/>
        <w:smallCaps/>
        <w:sz w:val="18"/>
      </w:rPr>
    </w:pPr>
    <w:r>
      <w:rPr>
        <w:rStyle w:val="Nmerodepgina"/>
        <w:rFonts w:ascii="Arial" w:hAnsi="Arial"/>
        <w:smallCaps/>
        <w:sz w:val="18"/>
      </w:rPr>
      <w:t>25</w:t>
    </w:r>
    <w:r w:rsidR="00EB25A6">
      <w:rPr>
        <w:rStyle w:val="Nmerodepgina"/>
        <w:rFonts w:ascii="Arial" w:hAnsi="Arial"/>
        <w:smallCaps/>
        <w:sz w:val="18"/>
      </w:rPr>
      <w:t xml:space="preserve"> DE ENERO</w:t>
    </w:r>
    <w:r w:rsidR="00171B02">
      <w:rPr>
        <w:rStyle w:val="Nmerodepgina"/>
        <w:rFonts w:ascii="Arial" w:hAnsi="Arial"/>
        <w:smallCaps/>
        <w:sz w:val="18"/>
      </w:rPr>
      <w:t xml:space="preserve"> DE 2019</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A1DF9"/>
    <w:rsid w:val="001B21B7"/>
    <w:rsid w:val="001B6FB1"/>
    <w:rsid w:val="001B7903"/>
    <w:rsid w:val="001C256E"/>
    <w:rsid w:val="001C2F30"/>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1C07"/>
    <w:rsid w:val="00B51E36"/>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458D"/>
    <w:rsid w:val="00C84B5B"/>
    <w:rsid w:val="00C86372"/>
    <w:rsid w:val="00CA541A"/>
    <w:rsid w:val="00CB6111"/>
    <w:rsid w:val="00CB6BDE"/>
    <w:rsid w:val="00CD0F45"/>
    <w:rsid w:val="00D13DF5"/>
    <w:rsid w:val="00D16E78"/>
    <w:rsid w:val="00D26201"/>
    <w:rsid w:val="00D30595"/>
    <w:rsid w:val="00D31C66"/>
    <w:rsid w:val="00D54AEB"/>
    <w:rsid w:val="00D54D5C"/>
    <w:rsid w:val="00D60D8E"/>
    <w:rsid w:val="00D63230"/>
    <w:rsid w:val="00D70254"/>
    <w:rsid w:val="00D84464"/>
    <w:rsid w:val="00DA20E8"/>
    <w:rsid w:val="00DB3132"/>
    <w:rsid w:val="00DC3AD1"/>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037F-164E-42E4-8703-22B9BE68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6727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2018-12-04T19:07:00Z</cp:lastPrinted>
  <dcterms:created xsi:type="dcterms:W3CDTF">2019-01-31T16:09:00Z</dcterms:created>
  <dcterms:modified xsi:type="dcterms:W3CDTF">2019-01-31T16:09:00Z</dcterms:modified>
</cp:coreProperties>
</file>